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ind w:right="-284"/>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-728969</wp:posOffset>
                </wp:positionH>
                <wp:positionV relativeFrom="paragraph">
                  <wp:posOffset>-390513</wp:posOffset>
                </wp:positionV>
                <wp:extent cx="7798435" cy="1532890"/>
                <wp:effectExtent b="0" l="0" r="0" t="0"/>
                <wp:wrapNone/>
                <wp:docPr id="1" name=""/>
                <a:graphic>
                  <a:graphicData uri="http://schemas.microsoft.com/office/word/2010/wordprocessingGroup">
                    <wpg:wgp>
                      <wpg:cNvGrpSpPr/>
                      <wpg:grpSpPr>
                        <a:xfrm>
                          <a:off x="0" y="0"/>
                          <a:ext cx="7798435" cy="1532890"/>
                          <a:chOff x="1446775" y="3013550"/>
                          <a:chExt cx="7798450" cy="1532900"/>
                        </a:xfrm>
                      </wpg:grpSpPr>
                      <wpg:grpSp>
                        <wpg:cNvGrpSpPr/>
                        <wpg:grpSpPr>
                          <a:xfrm>
                            <a:off x="1446783" y="3013555"/>
                            <a:ext cx="7798435" cy="1532890"/>
                            <a:chOff x="1446775" y="3013550"/>
                            <a:chExt cx="7798450" cy="1532900"/>
                          </a:xfrm>
                        </wpg:grpSpPr>
                        <wps:wsp>
                          <wps:cNvSpPr/>
                          <wps:cNvPr id="3" name="Shape 3"/>
                          <wps:spPr>
                            <a:xfrm>
                              <a:off x="1446775" y="3013550"/>
                              <a:ext cx="7798450" cy="153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46783" y="3013555"/>
                              <a:ext cx="7798435" cy="1532890"/>
                              <a:chOff x="1446775" y="3013550"/>
                              <a:chExt cx="7798450" cy="1532900"/>
                            </a:xfrm>
                          </wpg:grpSpPr>
                          <wps:wsp>
                            <wps:cNvSpPr/>
                            <wps:cNvPr id="5" name="Shape 5"/>
                            <wps:spPr>
                              <a:xfrm>
                                <a:off x="1446775" y="3013550"/>
                                <a:ext cx="7798450" cy="153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46783" y="3013555"/>
                                <a:ext cx="7798435" cy="1532890"/>
                                <a:chOff x="1818238" y="3013238"/>
                                <a:chExt cx="7055522" cy="1533525"/>
                              </a:xfrm>
                            </wpg:grpSpPr>
                            <wps:wsp>
                              <wps:cNvSpPr/>
                              <wps:cNvPr id="7" name="Shape 7"/>
                              <wps:spPr>
                                <a:xfrm>
                                  <a:off x="1818238" y="3013238"/>
                                  <a:ext cx="7055500" cy="1533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18238" y="3013238"/>
                                  <a:ext cx="7055522" cy="1533525"/>
                                  <a:chOff x="-380479" y="-32517"/>
                                  <a:chExt cx="7123725" cy="2127060"/>
                                </a:xfrm>
                              </wpg:grpSpPr>
                              <wps:wsp>
                                <wps:cNvSpPr/>
                                <wps:cNvPr id="9" name="Shape 9"/>
                                <wps:spPr>
                                  <a:xfrm>
                                    <a:off x="-380479" y="-32517"/>
                                    <a:ext cx="7123725" cy="2127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80479" y="-32517"/>
                                    <a:ext cx="3574781" cy="21270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PRESIDENCE DU CONSEIL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MINISTERE DE LA PLANIFICATION DU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DEVELOPPEMENT ET DE LA COOPERATION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SECRETARIAT GENERAL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 </w:t>
                                      </w:r>
                                      <w:r w:rsidDel="00000000" w:rsidR="00000000" w:rsidRPr="00000000">
                                        <w:rPr>
                                          <w:rFonts w:ascii="Arial" w:cs="Arial" w:eastAsia="Arial" w:hAnsi="Arial"/>
                                          <w:b w:val="1"/>
                                          <w:i w:val="0"/>
                                          <w:smallCaps w:val="0"/>
                                          <w:strike w:val="0"/>
                                          <w:color w:val="000000"/>
                                          <w:sz w:val="18"/>
                                          <w:vertAlign w:val="baseline"/>
                                        </w:rPr>
                                        <w:t xml:space="preserve">DIRECTION GENERALE DE LA PLANIFICATION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18"/>
                                          <w:vertAlign w:val="baseline"/>
                                        </w:rPr>
                                        <w:t xml:space="preserve">ET DU DEVELOPPEMENT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18"/>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18"/>
                                          <w:vertAlign w:val="baseline"/>
                                        </w:rPr>
                                        <w:t xml:space="preserve">       </w:t>
                                      </w:r>
                                    </w:p>
                                  </w:txbxContent>
                                </wps:txbx>
                                <wps:bodyPr anchorCtr="0" anchor="t" bIns="45700" lIns="91425" spcFirstLastPara="1" rIns="91425" wrap="square" tIns="45700">
                                  <a:noAutofit/>
                                </wps:bodyPr>
                              </wps:wsp>
                              <wps:wsp>
                                <wps:cNvSpPr/>
                                <wps:cNvPr id="11" name="Shape 11"/>
                                <wps:spPr>
                                  <a:xfrm>
                                    <a:off x="4054844" y="-7117"/>
                                    <a:ext cx="2278968" cy="1967892"/>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REPUBLIQUE TOGOLAISE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16"/>
                                          <w:vertAlign w:val="baseline"/>
                                        </w:rPr>
                                        <w:t xml:space="preserve">TRAVAIL-LIBERTE-PATRIE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20"/>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p>
                                  </w:txbxContent>
                                </wps:txbx>
                                <wps:bodyPr anchorCtr="0" anchor="t" bIns="45700" lIns="91425" spcFirstLastPara="1" rIns="91425" wrap="square" tIns="45700">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-728969</wp:posOffset>
                </wp:positionH>
                <wp:positionV relativeFrom="paragraph">
                  <wp:posOffset>-390513</wp:posOffset>
                </wp:positionV>
                <wp:extent cx="7798435" cy="153289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98435" cy="1532890"/>
                        </a:xfrm>
                        <a:prstGeom prst="rect"/>
                        <a:ln/>
                      </pic:spPr>
                    </pic:pic>
                  </a:graphicData>
                </a:graphic>
              </wp:anchor>
            </w:drawing>
          </mc:Fallback>
        </mc:AlternateContent>
      </w:r>
    </w:p>
    <w:p w:rsidR="00000000" w:rsidDel="00000000" w:rsidP="00000000" w:rsidRDefault="00000000" w:rsidRPr="00000000" w14:paraId="00000002">
      <w:pPr>
        <w:shd w:fill="ffffff" w:val="clear"/>
        <w:spacing w:after="0" w:line="240" w:lineRule="auto"/>
        <w:ind w:right="-284"/>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3">
      <w:pPr>
        <w:shd w:fill="ffffff" w:val="clear"/>
        <w:spacing w:after="0" w:line="240" w:lineRule="auto"/>
        <w:ind w:right="-284"/>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4">
      <w:pPr>
        <w:shd w:fill="ffffff" w:val="clear"/>
        <w:spacing w:after="0" w:line="240" w:lineRule="auto"/>
        <w:ind w:right="-284"/>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5">
      <w:pPr>
        <w:shd w:fill="ffffff" w:val="clear"/>
        <w:spacing w:after="0" w:line="240" w:lineRule="auto"/>
        <w:ind w:right="-284"/>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6">
      <w:pPr>
        <w:spacing w:after="0" w:lineRule="auto"/>
        <w:jc w:val="center"/>
        <w:rPr>
          <w:rFonts w:ascii="Times New Roman" w:cs="Times New Roman" w:eastAsia="Times New Roman" w:hAnsi="Times New Roman"/>
          <w:b w:val="1"/>
          <w:bCs w:val="1"/>
          <w:sz w:val="2"/>
          <w:szCs w:val="2"/>
        </w:rPr>
      </w:pPr>
      <w:r w:rsidDel="00000000" w:rsidR="00000000" w:rsidRPr="00000000">
        <w:rPr>
          <w:rtl w:val="0"/>
        </w:rPr>
      </w:r>
    </w:p>
    <w:p w:rsidR="00000000" w:rsidDel="00000000" w:rsidP="00000000" w:rsidRDefault="00000000" w:rsidRPr="00000000" w14:paraId="00000007">
      <w:pPr>
        <w:spacing w:after="12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8">
      <w:pPr>
        <w:spacing w:after="120" w:before="12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9">
      <w:pPr>
        <w:spacing w:after="120" w:before="12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COMMUNIQUE DE PRESSE</w:t>
      </w:r>
    </w:p>
    <w:p w:rsidR="00000000" w:rsidDel="00000000" w:rsidP="00000000" w:rsidRDefault="00000000" w:rsidRPr="00000000" w14:paraId="0000000A">
      <w:pPr>
        <w:spacing w:after="120" w:before="12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00B">
      <w:pPr>
        <w:spacing w:after="120" w:before="120" w:lineRule="auto"/>
        <w:jc w:val="center"/>
        <w:rPr>
          <w:rFonts w:ascii="Arial" w:cs="Arial" w:eastAsia="Arial" w:hAnsi="Arial"/>
          <w:b w:val="1"/>
          <w:bCs w:val="1"/>
          <w:i w:val="1"/>
          <w:iCs w:val="1"/>
        </w:rPr>
      </w:pPr>
      <w:r w:rsidDel="00000000" w:rsidR="00000000" w:rsidRPr="00000000">
        <w:rPr>
          <w:rFonts w:ascii="Arial" w:cs="Arial" w:eastAsia="Arial" w:hAnsi="Arial"/>
          <w:b w:val="1"/>
          <w:bCs w:val="1"/>
          <w:rtl w:val="0"/>
        </w:rPr>
        <w:t xml:space="preserve">ELABORATION DE LA FEUILLE DE ROUTE GOUVERNEMENTALE 2026-2031 </w:t>
      </w:r>
      <w:r w:rsidDel="00000000" w:rsidR="00000000" w:rsidRPr="00000000">
        <w:rPr>
          <w:rFonts w:ascii="Arial" w:cs="Arial" w:eastAsia="Arial" w:hAnsi="Arial"/>
          <w:b w:val="1"/>
          <w:bCs w:val="1"/>
          <w:i w:val="1"/>
          <w:iCs w:val="1"/>
          <w:rtl w:val="0"/>
        </w:rPr>
        <w:t xml:space="preserve">: Consultation des parties prenantes au développement</w:t>
      </w:r>
    </w:p>
    <w:p w:rsidR="00000000" w:rsidDel="00000000" w:rsidP="00000000" w:rsidRDefault="00000000" w:rsidRPr="00000000" w14:paraId="0000000C">
      <w:pPr>
        <w:spacing w:after="120" w:before="12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00D">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Lomé, le 12 mai 2026</w:t>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 Gouvernement togolais a entamé la consultation des acteurs de développement (partenaires techniques et financiers, secteur privé, société civile, institutions) dans le cadre du processus d’élaboration de la Feuille de route gouvernementale 2026-2031. </w:t>
      </w:r>
    </w:p>
    <w:p w:rsidR="00000000" w:rsidDel="00000000" w:rsidP="00000000" w:rsidRDefault="00000000" w:rsidRPr="00000000" w14:paraId="0000000F">
      <w:pPr>
        <w:jc w:val="both"/>
        <w:rPr>
          <w:rFonts w:ascii="Arial" w:cs="Arial" w:eastAsia="Arial" w:hAnsi="Arial"/>
          <w:sz w:val="24"/>
          <w:szCs w:val="24"/>
        </w:rPr>
      </w:pPr>
      <w:bookmarkStart w:colFirst="0" w:colLast="0" w:name="_1wlx9gukp2xc" w:id="0"/>
      <w:bookmarkEnd w:id="0"/>
      <w:r w:rsidDel="00000000" w:rsidR="00000000" w:rsidRPr="00000000">
        <w:rPr>
          <w:rFonts w:ascii="Arial" w:cs="Arial" w:eastAsia="Arial" w:hAnsi="Arial"/>
          <w:sz w:val="24"/>
          <w:szCs w:val="24"/>
          <w:rtl w:val="0"/>
        </w:rPr>
        <w:t xml:space="preserve">Dans ce cadre, deux rencontres se sont déroulées ce 12 mai 2026, respectivement avec les partenaires techniques et financiers (PTF) et le secteur privé.</w:t>
      </w:r>
    </w:p>
    <w:p w:rsidR="00000000" w:rsidDel="00000000" w:rsidP="00000000" w:rsidRDefault="00000000" w:rsidRPr="00000000" w14:paraId="0000001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Cette session fait suite au discours à la Nation de Son Excellence Monsieur Faure Essozimna GNASSINGBE, Président du Conseil, à l’occasion de la célébration du 66e anniversaire de l’Indépendance du Togo le 27 avril 2026 annonçant l’ouverture d’une phase d’échanges avec l’ensemble des parties prenantes au développement. </w:t>
      </w:r>
    </w:p>
    <w:p w:rsidR="00000000" w:rsidDel="00000000" w:rsidP="00000000" w:rsidRDefault="00000000" w:rsidRPr="00000000" w14:paraId="0000001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Les deux séances ont été présidées au nom du Président du Conseil par Dr Sandra Ablamba Johnson, ministre, Secrétaire Général de la Présidence du Conseil en présence de Madame Coumba Sow, Coordonnatrice Résidente du Système des Nations Unies au Togo et du Représentant Résident de la Banque Mondiale, tous deux co-présidents du groupe des PTFs ainsi que d’autres partenaires au développement.</w:t>
      </w:r>
    </w:p>
    <w:p w:rsidR="00000000" w:rsidDel="00000000" w:rsidP="00000000" w:rsidRDefault="00000000" w:rsidRPr="00000000" w14:paraId="0000001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rencontre avec le secteur privé dans l’après-midi , a connu la présence de Dr José Kwassi SYMENOUH, président de la Chambre de Commerce et d'Industrie du Togo (CCI-Togo), de Monsieur Thierry AWESSO, vice-président du Conseil National du Patronat, Monsieur Jonas DAOU, président de l’Association des Grandes Entreprises du TOGO ainsi que des autres acteurs du secteur privé.</w:t>
      </w:r>
    </w:p>
    <w:p w:rsidR="00000000" w:rsidDel="00000000" w:rsidP="00000000" w:rsidRDefault="00000000" w:rsidRPr="00000000" w14:paraId="0000001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Ces échanges visent à recueillir les contributions des différents acteurs sur les principaux défis et opportunités du Togo pour la période 2026-2031. Ils permettront également d’identifier les priorités et les conditions nécessaires à une mise en œuvre efficace de la Feuille de route, dans un contexte international difficile marqué par de multiples chocs.</w:t>
      </w:r>
    </w:p>
    <w:p w:rsidR="00000000" w:rsidDel="00000000" w:rsidP="00000000" w:rsidRDefault="00000000" w:rsidRPr="00000000" w14:paraId="0000001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 nouveau cadre stratégique s’inscrit dans la continuité de la précédente Feuille de route 2020-2025 en capitalisant sur les acquis économiques et sociaux enregistrés ces dernières années.</w:t>
      </w:r>
    </w:p>
    <w:p w:rsidR="00000000" w:rsidDel="00000000" w:rsidP="00000000" w:rsidRDefault="00000000" w:rsidRPr="00000000" w14:paraId="0000001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Sur la base du bilan de la Feuille de route, de la conjoncture internationale et des orientations nationales, le Président du Conseil a engagé la définition d’un nouveau cadre stratégique. Celui-ci repose sur trois axes majeurs: Protéger, Rassembler et Transformer. Ce qui signifie: Protéger la nation et renforcer sa résilience, Rassembler autour de la cohésion et de l’inclusion et Transformer l’économie togolaise pour la rendre plus compétitive et inclusive face aux défis du XXIᵉ siècle.</w:t>
      </w:r>
    </w:p>
    <w:p w:rsidR="00000000" w:rsidDel="00000000" w:rsidP="00000000" w:rsidRDefault="00000000" w:rsidRPr="00000000" w14:paraId="0000001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l’ouverture solennelle de ces consultations, Dr Sandra Ablamba Johnson, ministre, Secrétaire général de la Présidence du Conseil a situé les objectifs de cette initiative qui vise à garantir une élaboration inclusive, cohérente et participative de la Feuille de route gouvernementale 2026-2031, en adéquation avec les priorités nationales de développement.</w:t>
      </w:r>
    </w:p>
    <w:p w:rsidR="00000000" w:rsidDel="00000000" w:rsidP="00000000" w:rsidRDefault="00000000" w:rsidRPr="00000000" w14:paraId="0000001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Madame le ministre, Secrétaire général de la Présidence du Conseil est revenue sur le bilan élogieux de la Feuille de route Togo 2025, enregistré dans un contexte mondial marqué par les crises climatiques, sanitaires et sécuritaires.</w:t>
      </w:r>
    </w:p>
    <w:p w:rsidR="00000000" w:rsidDel="00000000" w:rsidP="00000000" w:rsidRDefault="00000000" w:rsidRPr="00000000" w14:paraId="0000001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Malgré ces défis, le gouvernement, sous le leadership du Président du Conseil, Son Excellence Monsieur Faure Essozimna GNASSINGBE, a maintenu le cap avec un haut niveau d'ambition. La mise en œuvre de la Feuille de route, qui est arrivée à son terme le 31 décembre 2025, a permis d’enregistrer des avancées significatives dans plusieurs secteurs clés de notre économie, témoignant ainsi de la résilience du pays face aux chocs d'une ampleur exceptionnelle » a-t-elle indiqué.</w:t>
      </w:r>
    </w:p>
    <w:p w:rsidR="00000000" w:rsidDel="00000000" w:rsidP="00000000" w:rsidRDefault="00000000" w:rsidRPr="00000000" w14:paraId="00000019">
      <w:pPr>
        <w:jc w:val="both"/>
        <w:rPr>
          <w:rFonts w:ascii="Arial" w:cs="Arial" w:eastAsia="Arial" w:hAnsi="Arial"/>
          <w:sz w:val="24"/>
          <w:szCs w:val="24"/>
        </w:rPr>
      </w:pPr>
      <w:bookmarkStart w:colFirst="0" w:colLast="0" w:name="_srshuzb6fa9" w:id="1"/>
      <w:bookmarkEnd w:id="1"/>
      <w:r w:rsidDel="00000000" w:rsidR="00000000" w:rsidRPr="00000000">
        <w:rPr>
          <w:rFonts w:ascii="Arial" w:cs="Arial" w:eastAsia="Arial" w:hAnsi="Arial"/>
          <w:sz w:val="24"/>
          <w:szCs w:val="24"/>
          <w:rtl w:val="0"/>
        </w:rPr>
        <w:t xml:space="preserve">La Coordonnatrice Résidente du Système des Nations unies au Togo, Madame Coumba Sow a salué cette initiative consultative du gouvernement sur la prochaine feuille de route tout en affichant la disponibilité de leurs institutions respectives à apporter leur contribution à la finalisation du processus.</w:t>
      </w:r>
    </w:p>
    <w:p w:rsidR="00000000" w:rsidDel="00000000" w:rsidP="00000000" w:rsidRDefault="00000000" w:rsidRPr="00000000" w14:paraId="0000001A">
      <w:pPr>
        <w:jc w:val="both"/>
        <w:rPr>
          <w:rFonts w:ascii="Arial" w:cs="Arial" w:eastAsia="Arial" w:hAnsi="Arial"/>
          <w:sz w:val="24"/>
          <w:szCs w:val="24"/>
        </w:rPr>
      </w:pPr>
      <w:bookmarkStart w:colFirst="0" w:colLast="0" w:name="_shjm1tebcu7p" w:id="2"/>
      <w:bookmarkEnd w:id="2"/>
      <w:r w:rsidDel="00000000" w:rsidR="00000000" w:rsidRPr="00000000">
        <w:rPr>
          <w:rFonts w:ascii="Arial" w:cs="Arial" w:eastAsia="Arial" w:hAnsi="Arial"/>
          <w:sz w:val="24"/>
          <w:szCs w:val="24"/>
          <w:rtl w:val="0"/>
        </w:rPr>
        <w:t xml:space="preserve">Il faut préciser que la même démarche a été observée à l’endroit du secteur privé et des organisations de la société civile avec qui les discussions ont été de très haut niveau avec de précieuses contributions.</w:t>
      </w:r>
    </w:p>
    <w:p w:rsidR="00000000" w:rsidDel="00000000" w:rsidP="00000000" w:rsidRDefault="00000000" w:rsidRPr="00000000" w14:paraId="0000001B">
      <w:pPr>
        <w:jc w:val="both"/>
        <w:rPr>
          <w:rFonts w:ascii="Arial" w:cs="Arial" w:eastAsia="Arial" w:hAnsi="Arial"/>
          <w:sz w:val="24"/>
          <w:szCs w:val="24"/>
        </w:rPr>
      </w:pPr>
      <w:bookmarkStart w:colFirst="0" w:colLast="0" w:name="_yxn8fhaffp7g" w:id="3"/>
      <w:bookmarkEnd w:id="3"/>
      <w:r w:rsidDel="00000000" w:rsidR="00000000" w:rsidRPr="00000000">
        <w:rPr>
          <w:rFonts w:ascii="Arial" w:cs="Arial" w:eastAsia="Arial" w:hAnsi="Arial"/>
          <w:sz w:val="24"/>
          <w:szCs w:val="24"/>
          <w:rtl w:val="0"/>
        </w:rPr>
        <w:t xml:space="preserve">Les responsables de ces entités se sont également félicités de l’implication des acteurs socio-économiques.</w:t>
      </w:r>
    </w:p>
    <w:p w:rsidR="00000000" w:rsidDel="00000000" w:rsidP="00000000" w:rsidRDefault="00000000" w:rsidRPr="00000000" w14:paraId="0000001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 rencontres ont également été organisées avec les acteurs de la société civile et les institutions. Lesdites sessions de consultations se poursuivent avec les acteurs au niveau des régions maritime, Plateaux, centrale, Kara et Savanes.</w:t>
      </w:r>
    </w:p>
    <w:p w:rsidR="00000000" w:rsidDel="00000000" w:rsidP="00000000" w:rsidRDefault="00000000" w:rsidRPr="00000000" w14:paraId="0000001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Les résultats de ces échanges permettront de nourrir les réflexions en cours sur la formulation des programmes de la nouvelle feuille de route gouvernementale 2026-2031.</w:t>
      </w:r>
    </w:p>
    <w:p w:rsidR="00000000" w:rsidDel="00000000" w:rsidP="00000000" w:rsidRDefault="00000000" w:rsidRPr="00000000" w14:paraId="0000001E">
      <w:pPr>
        <w:spacing w:after="120" w:before="120" w:lineRule="auto"/>
        <w:jc w:val="both"/>
        <w:rPr>
          <w:rFonts w:ascii="Arial" w:cs="Arial" w:eastAsia="Arial" w:hAnsi="Arial"/>
          <w:sz w:val="24"/>
          <w:szCs w:val="24"/>
        </w:rPr>
      </w:pPr>
      <w:r w:rsidDel="00000000" w:rsidR="00000000" w:rsidRPr="00000000">
        <w:rPr>
          <w:rtl w:val="0"/>
        </w:rPr>
      </w:r>
    </w:p>
    <w:sectPr>
      <w:footerReference r:id="rId7" w:type="default"/>
      <w:pgSz w:h="16838" w:w="11906" w:orient="portrait"/>
      <w:pgMar w:bottom="927" w:top="900" w:left="1418" w:right="849" w:header="70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